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44FB" w14:textId="0C74461D" w:rsidR="00B8646E" w:rsidRPr="00E72E60" w:rsidRDefault="00E72E60" w:rsidP="00E72E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2E60">
        <w:rPr>
          <w:rFonts w:ascii="Arial" w:hAnsi="Arial" w:cs="Arial"/>
          <w:b/>
          <w:bCs/>
          <w:sz w:val="24"/>
          <w:szCs w:val="24"/>
        </w:rPr>
        <w:t>DECRETO Nº 37.297, DE 29 DE ABRIL DE 2016</w:t>
      </w:r>
    </w:p>
    <w:p w14:paraId="4528150A" w14:textId="77777777" w:rsidR="00E72E60" w:rsidRPr="00E72E60" w:rsidRDefault="00E72E60" w:rsidP="00E72E60">
      <w:pPr>
        <w:ind w:left="3402"/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Aprova, no âmbito da Administração Pública Direta e Indireta do Distrito Federal, o Código de Conduta da Alta Administração, o Código de Ética dos Servidores e Empregados Públicos Civis do Poder Executivo e institui as Comissões de Ética do Poder Executivo do Distrito Federal e dá outras providências. O GOVERNADOR DO DISTRITO FEDERAL, no uso das atribuições que lhe conferem os incisos VII, X e XXVI do artigo 100 da Lei Orgânica do Distrito Federal, DECRETA: </w:t>
      </w:r>
    </w:p>
    <w:p w14:paraId="152160F2" w14:textId="77777777" w:rsidR="00E72E60" w:rsidRPr="00E72E60" w:rsidRDefault="00E72E60" w:rsidP="00E72E60">
      <w:pPr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Art. 1º Fica aprovado, no âmbito da Administração Pública Direta e Indireta do Distrito Federal, o Código de Conduta da Alta Administração, o Código de Ética dos Servidores e Empregados Públicos Civis do Poder Executivo e institui as Comissões de Ética, na forma estabelecida, respectivamente, nos Anexos I, II e III deste Decreto. </w:t>
      </w:r>
    </w:p>
    <w:p w14:paraId="1CF2833F" w14:textId="51FDEAB1" w:rsidR="00E72E60" w:rsidRPr="00E72E60" w:rsidRDefault="00E72E60" w:rsidP="00E72E60">
      <w:pPr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Art. 2º O Código de Conduta da Alta Administração e o Código de Ética dos Servidores e Empregados Públicos Civis do Poder Executivo do Distrito Federal deverão estar disponíveis em todos os órgãos e entidades da Administração Pública sujeitos às suas normas, em local visível e de fácil acesso ao público. </w:t>
      </w:r>
    </w:p>
    <w:p w14:paraId="7417D972" w14:textId="77777777" w:rsidR="00E72E60" w:rsidRPr="00E72E60" w:rsidRDefault="00E72E60" w:rsidP="00E72E60">
      <w:pPr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Art. 3º Em razão de distintas especificidades técnicas, institucionais ou jurídicas devidamente motivadas, outras normas de conduta ética poderão ser aprovadas no âmbito do Poder Executivo do Distrito Federal. </w:t>
      </w:r>
    </w:p>
    <w:p w14:paraId="5D195C60" w14:textId="77777777" w:rsidR="00E72E60" w:rsidRPr="00E72E60" w:rsidRDefault="00E72E60" w:rsidP="00E72E60">
      <w:pPr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Art. 4º Este Decreto entra em vigor na data de sua publicação. </w:t>
      </w:r>
    </w:p>
    <w:p w14:paraId="781A4000" w14:textId="2216254E" w:rsidR="00E72E60" w:rsidRP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>Brasília, 29 de abril de 2016.</w:t>
      </w:r>
    </w:p>
    <w:p w14:paraId="40FEE988" w14:textId="46A1EAFE" w:rsidR="00E72E60" w:rsidRP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>128º da República e 57º de Brasília</w:t>
      </w:r>
    </w:p>
    <w:p w14:paraId="63B2760A" w14:textId="4CC0DAF4" w:rsidR="00E72E60" w:rsidRP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>RODRIGO ROLLEMBERG</w:t>
      </w:r>
    </w:p>
    <w:p w14:paraId="6645EAC2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347DDA07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44F485F3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2E7391A5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0350A2A5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06DAD964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6E0F240B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0FA76685" w14:textId="36EF6A21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19C747D6" w14:textId="0D1B9A09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76F11512" w14:textId="19C25086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4E97D741" w14:textId="77777777" w:rsid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</w:p>
    <w:p w14:paraId="532D0B53" w14:textId="55E6BB2C" w:rsidR="00E72E60" w:rsidRP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lastRenderedPageBreak/>
        <w:t xml:space="preserve">Seção III </w:t>
      </w:r>
    </w:p>
    <w:p w14:paraId="794A8338" w14:textId="77777777" w:rsidR="00E72E60" w:rsidRPr="00E72E60" w:rsidRDefault="00E72E60" w:rsidP="00E72E60">
      <w:pPr>
        <w:jc w:val="center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Das Variações Patrimoniais </w:t>
      </w:r>
    </w:p>
    <w:p w14:paraId="16877A1C" w14:textId="7777777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Art. 19. Além da declaração de bens e rendas de que trata a Lei Federal nº 8.730, de 10 de novembro de 1993, a autoridade pública, no prazo de 10 dias contados de sua posse, enviará à Comissão-Geral de Ética Pública - CGEP informações sobre sua situação patrimonial que, real ou potencialmente, possa suscitar conflito com o interesse público, indicando o modo pelo qual irá evitá-lo. </w:t>
      </w:r>
    </w:p>
    <w:p w14:paraId="6385F286" w14:textId="7777777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Art. 20. As alterações relevantes no patrimônio da autoridade pública deverão ser imediatamente comunicadas à CGEP, especialmente quando se tratar de: </w:t>
      </w:r>
    </w:p>
    <w:p w14:paraId="739DDC62" w14:textId="7777777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E72E60">
        <w:rPr>
          <w:rFonts w:ascii="Arial" w:hAnsi="Arial" w:cs="Arial"/>
          <w:sz w:val="24"/>
          <w:szCs w:val="24"/>
        </w:rPr>
        <w:t>atos</w:t>
      </w:r>
      <w:proofErr w:type="gramEnd"/>
      <w:r w:rsidRPr="00E72E60">
        <w:rPr>
          <w:rFonts w:ascii="Arial" w:hAnsi="Arial" w:cs="Arial"/>
          <w:sz w:val="24"/>
          <w:szCs w:val="24"/>
        </w:rPr>
        <w:t xml:space="preserve"> de gestão patrimonial que envolvam: </w:t>
      </w:r>
    </w:p>
    <w:p w14:paraId="749EFEB6" w14:textId="7777777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a) transferência de bens a cônjuge, ascendente, descendente ou parente na linha colateral; </w:t>
      </w:r>
    </w:p>
    <w:p w14:paraId="0621E48E" w14:textId="5D49D5E1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b) aquisição, direta ou indireta, do controle de empresa; </w:t>
      </w:r>
    </w:p>
    <w:p w14:paraId="7142C0D6" w14:textId="0A1C98E3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c) outras alterações significativas ou relevantes no valor ou na natureza do patrimônio; </w:t>
      </w:r>
    </w:p>
    <w:p w14:paraId="1EDD727F" w14:textId="7777777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E72E60">
        <w:rPr>
          <w:rFonts w:ascii="Arial" w:hAnsi="Arial" w:cs="Arial"/>
          <w:sz w:val="24"/>
          <w:szCs w:val="24"/>
        </w:rPr>
        <w:t>atos</w:t>
      </w:r>
      <w:proofErr w:type="gramEnd"/>
      <w:r w:rsidRPr="00E72E60">
        <w:rPr>
          <w:rFonts w:ascii="Arial" w:hAnsi="Arial" w:cs="Arial"/>
          <w:sz w:val="24"/>
          <w:szCs w:val="24"/>
        </w:rPr>
        <w:t xml:space="preserve"> de gestão de bens, cujo valor possa ser substancialmente alterado por decisão ou política governamental. </w:t>
      </w:r>
    </w:p>
    <w:p w14:paraId="68B3495D" w14:textId="7777777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§ 1º É vedado o investimento em bens cujo valor ou cotação possa ser afetado por decisão ou política governamental a respeito da qual a autoridade pública tenha informações privilegiadas, em razão do cargo ou função, inclusive investimentos de renda variável ou em commodities, contratos futuros e moedas para fim especulativo, excetuadas aplicações em modalidades de investimento que a CGEP venha a especificar. </w:t>
      </w:r>
    </w:p>
    <w:p w14:paraId="0E7691B9" w14:textId="7777777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§ 2º Em caso de dúvida, a CGEP poderá solicitar informações adicionais e esclarecimentos sobre alterações patrimoniais a ela comunicadas pela autoridade pública ou que, por qualquer outro meio, cheguem ao seu conhecimento. </w:t>
      </w:r>
    </w:p>
    <w:p w14:paraId="77FA2F4D" w14:textId="53F58EDD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§ 3º A autoridade pública poderá consultar previamente a CGEP a respeito de ato específico de gestão de bens que pretenda realizar. </w:t>
      </w:r>
    </w:p>
    <w:p w14:paraId="314CA3B9" w14:textId="41125957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 xml:space="preserve">§ 4º A fim de preservar o caráter sigiloso das informações pertinentes à situação patrimonial da autoridade pública, as comunicações e consultas, após serem conferidas e respondidas, serão acondicionadas em envelope lacrado, que somente poderá ser aberto por determinação da Comissão. </w:t>
      </w:r>
    </w:p>
    <w:p w14:paraId="1D9CA3D3" w14:textId="66644F8C" w:rsidR="00E72E60" w:rsidRPr="00E72E60" w:rsidRDefault="00E72E60" w:rsidP="00E72E60">
      <w:pPr>
        <w:jc w:val="both"/>
        <w:rPr>
          <w:rFonts w:ascii="Arial" w:hAnsi="Arial" w:cs="Arial"/>
          <w:sz w:val="24"/>
          <w:szCs w:val="24"/>
        </w:rPr>
      </w:pPr>
      <w:r w:rsidRPr="00E72E60">
        <w:rPr>
          <w:rFonts w:ascii="Arial" w:hAnsi="Arial" w:cs="Arial"/>
          <w:sz w:val="24"/>
          <w:szCs w:val="24"/>
        </w:rPr>
        <w:t>Art. 21. A autoridade pública que mantiver participação superior a 5% (cinco por cento) do capital de sociedade de economia mista, de instituição financeira, ou de empresa que negocie com o Poder Público, tornará público este fato.</w:t>
      </w:r>
    </w:p>
    <w:sectPr w:rsidR="00E72E60" w:rsidRPr="00E72E60" w:rsidSect="00E72E6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6E"/>
    <w:rsid w:val="00B8646E"/>
    <w:rsid w:val="00E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E764"/>
  <w15:chartTrackingRefBased/>
  <w15:docId w15:val="{499906D0-DE2A-4BA3-B457-C91A2192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Machado</dc:creator>
  <cp:keywords/>
  <dc:description/>
  <cp:lastModifiedBy>Bruno de Souza Machado</cp:lastModifiedBy>
  <cp:revision>1</cp:revision>
  <dcterms:created xsi:type="dcterms:W3CDTF">2021-06-08T12:59:00Z</dcterms:created>
  <dcterms:modified xsi:type="dcterms:W3CDTF">2021-06-08T13:51:00Z</dcterms:modified>
</cp:coreProperties>
</file>